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center"/>
        <w:rPr>
          <w:rFonts w:hint="default" w:ascii="Arial" w:hAnsi="Arial" w:eastAsia="Arial" w:cs="Arial"/>
          <w:i w:val="0"/>
          <w:iCs w:val="0"/>
          <w:caps w:val="0"/>
          <w:color w:val="191919"/>
          <w:spacing w:val="0"/>
          <w:sz w:val="19"/>
          <w:szCs w:val="19"/>
          <w:bdr w:val="none" w:color="auto" w:sz="0" w:space="0"/>
          <w:shd w:val="clear" w:fill="FFFFFF"/>
        </w:rPr>
      </w:pPr>
      <w:bookmarkStart w:id="0" w:name="_GoBack"/>
      <w:r>
        <w:rPr>
          <w:rStyle w:val="5"/>
          <w:rFonts w:hint="eastAsia" w:ascii="方正小标宋简体" w:hAnsi="方正小标宋简体" w:eastAsia="方正小标宋简体" w:cs="方正小标宋简体"/>
          <w:b/>
          <w:bCs/>
          <w:i w:val="0"/>
          <w:iCs w:val="0"/>
          <w:caps w:val="0"/>
          <w:color w:val="191919"/>
          <w:spacing w:val="0"/>
          <w:sz w:val="44"/>
          <w:szCs w:val="44"/>
          <w:shd w:val="clear" w:fill="FFFFFF"/>
        </w:rPr>
        <w:t>福建省地方金融监督管理局关于做好商业保理企业名单制管理工作的通知</w:t>
      </w:r>
    </w:p>
    <w:bookmarkEnd w:id="0"/>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line="240" w:lineRule="auto"/>
        <w:ind w:left="0" w:right="0" w:firstLine="640" w:firstLineChars="200"/>
        <w:jc w:val="left"/>
        <w:rPr>
          <w:rFonts w:hint="eastAsia" w:ascii="仿宋_GB2312" w:hAnsi="仿宋_GB2312" w:eastAsia="仿宋_GB2312" w:cs="仿宋_GB2312"/>
          <w:i w:val="0"/>
          <w:iCs w:val="0"/>
          <w:caps w:val="0"/>
          <w:color w:val="191919"/>
          <w:spacing w:val="0"/>
          <w:sz w:val="32"/>
          <w:szCs w:val="32"/>
          <w:bdr w:val="none" w:color="auto" w:sz="0" w:space="0"/>
          <w:shd w:val="clear" w:fill="FFFFFF"/>
        </w:rPr>
      </w:pPr>
      <w:r>
        <w:rPr>
          <w:rFonts w:hint="eastAsia" w:ascii="仿宋_GB2312" w:hAnsi="仿宋_GB2312" w:eastAsia="仿宋_GB2312" w:cs="仿宋_GB2312"/>
          <w:i w:val="0"/>
          <w:iCs w:val="0"/>
          <w:caps w:val="0"/>
          <w:color w:val="191919"/>
          <w:spacing w:val="0"/>
          <w:sz w:val="32"/>
          <w:szCs w:val="32"/>
          <w:bdr w:val="none" w:color="auto" w:sz="0" w:space="0"/>
          <w:shd w:val="clear" w:fill="FFFFFF"/>
        </w:rPr>
        <w:t>近日，福建省地方金融监督管理局发布了《关于做好商业保理企业名单制管理工作的通 知》，并附有《中国银保监会普惠金融部关于印发商业保理企业名单制管理工作方案的函（银保监普惠金融函〔2020〕273号）》，以下是通知全文：</w:t>
      </w:r>
      <w:r>
        <w:rPr>
          <w:rStyle w:val="5"/>
          <w:rFonts w:hint="eastAsia" w:ascii="仿宋_GB2312" w:hAnsi="仿宋_GB2312" w:eastAsia="仿宋_GB2312" w:cs="仿宋_GB2312"/>
          <w:b/>
          <w:bCs/>
          <w:i w:val="0"/>
          <w:iCs w:val="0"/>
          <w:caps w:val="0"/>
          <w:color w:val="191919"/>
          <w:spacing w:val="0"/>
          <w:sz w:val="32"/>
          <w:szCs w:val="32"/>
          <w:bdr w:val="none" w:color="auto" w:sz="0" w:space="0"/>
          <w:shd w:val="clear" w:fill="FFFFFF"/>
        </w:rPr>
        <w:t>福建省地方金融监督管理局关于做好商业保理企业名单制管理工作的通知</w:t>
      </w:r>
      <w:r>
        <w:rPr>
          <w:rStyle w:val="5"/>
          <w:rFonts w:hint="eastAsia" w:ascii="仿宋_GB2312" w:hAnsi="仿宋_GB2312" w:eastAsia="仿宋_GB2312" w:cs="仿宋_GB2312"/>
          <w:b/>
          <w:bCs/>
          <w:i w:val="0"/>
          <w:iCs w:val="0"/>
          <w:caps w:val="0"/>
          <w:color w:val="191919"/>
          <w:spacing w:val="0"/>
          <w:sz w:val="32"/>
          <w:szCs w:val="32"/>
          <w:bdr w:val="none" w:color="auto" w:sz="0" w:space="0"/>
          <w:shd w:val="clear" w:fill="FFFFFF"/>
        </w:rPr>
        <w:br w:type="textWrapping"/>
      </w:r>
      <w:r>
        <w:rPr>
          <w:rFonts w:hint="eastAsia" w:ascii="仿宋_GB2312" w:hAnsi="仿宋_GB2312" w:eastAsia="仿宋_GB2312" w:cs="仿宋_GB2312"/>
          <w:i w:val="0"/>
          <w:iCs w:val="0"/>
          <w:caps w:val="0"/>
          <w:color w:val="191919"/>
          <w:spacing w:val="0"/>
          <w:sz w:val="32"/>
          <w:szCs w:val="32"/>
          <w:bdr w:val="none" w:color="auto" w:sz="0" w:space="0"/>
          <w:shd w:val="clear" w:fill="FFFFFF"/>
        </w:rPr>
        <w:t>各设区市金融局（办），平潭综合实验区财金局：</w:t>
      </w:r>
      <w:r>
        <w:rPr>
          <w:rFonts w:hint="eastAsia" w:ascii="仿宋_GB2312" w:hAnsi="仿宋_GB2312" w:eastAsia="仿宋_GB2312" w:cs="仿宋_GB2312"/>
          <w:i w:val="0"/>
          <w:iCs w:val="0"/>
          <w:caps w:val="0"/>
          <w:color w:val="191919"/>
          <w:spacing w:val="0"/>
          <w:sz w:val="32"/>
          <w:szCs w:val="32"/>
          <w:bdr w:val="none" w:color="auto" w:sz="0" w:space="0"/>
          <w:shd w:val="clear" w:fill="FFFFFF"/>
        </w:rPr>
        <w:br w:type="textWrapping"/>
      </w:r>
      <w:r>
        <w:rPr>
          <w:rFonts w:hint="eastAsia" w:ascii="仿宋_GB2312" w:hAnsi="仿宋_GB2312" w:eastAsia="仿宋_GB2312" w:cs="仿宋_GB2312"/>
          <w:i w:val="0"/>
          <w:iCs w:val="0"/>
          <w:caps w:val="0"/>
          <w:color w:val="191919"/>
          <w:spacing w:val="0"/>
          <w:sz w:val="32"/>
          <w:szCs w:val="32"/>
          <w:bdr w:val="none" w:color="auto" w:sz="0" w:space="0"/>
          <w:shd w:val="clear" w:fill="FFFFFF"/>
          <w:lang w:val="en-US" w:eastAsia="zh-CN"/>
        </w:rPr>
        <w:t xml:space="preserve">   </w:t>
      </w:r>
      <w:r>
        <w:rPr>
          <w:rFonts w:hint="eastAsia" w:ascii="仿宋_GB2312" w:hAnsi="仿宋_GB2312" w:eastAsia="仿宋_GB2312" w:cs="仿宋_GB2312"/>
          <w:i w:val="0"/>
          <w:iCs w:val="0"/>
          <w:caps w:val="0"/>
          <w:color w:val="191919"/>
          <w:spacing w:val="0"/>
          <w:sz w:val="32"/>
          <w:szCs w:val="32"/>
          <w:bdr w:val="none" w:color="auto" w:sz="0" w:space="0"/>
          <w:shd w:val="clear" w:fill="FFFFFF"/>
        </w:rPr>
        <w:t>根据《中国银保监会办公厅关于加强商业保理企业监督管理的通知》（银保监办发〔2019〕205号）、《中国银保监会普惠金融部关于印发〈商业保理企业名单制管理工作方案〉的函》（银保监普惠金融函〔2020〕273号），为加强福建省商业保理企业监督管理，做好商业保理企业名单制管理工作，现结合我省日常监管工作实际，将有关工作要求通知如下：</w:t>
      </w:r>
      <w:r>
        <w:rPr>
          <w:rFonts w:hint="eastAsia" w:ascii="仿宋_GB2312" w:hAnsi="仿宋_GB2312" w:eastAsia="仿宋_GB2312" w:cs="仿宋_GB2312"/>
          <w:i w:val="0"/>
          <w:iCs w:val="0"/>
          <w:caps w:val="0"/>
          <w:color w:val="191919"/>
          <w:spacing w:val="0"/>
          <w:sz w:val="32"/>
          <w:szCs w:val="32"/>
          <w:bdr w:val="none" w:color="auto" w:sz="0" w:space="0"/>
          <w:shd w:val="clear" w:fill="FFFFFF"/>
        </w:rPr>
        <w:br w:type="textWrapping"/>
      </w:r>
      <w:r>
        <w:rPr>
          <w:rStyle w:val="5"/>
          <w:rFonts w:hint="eastAsia" w:ascii="仿宋_GB2312" w:hAnsi="仿宋_GB2312" w:eastAsia="仿宋_GB2312" w:cs="仿宋_GB2312"/>
          <w:b/>
          <w:bCs/>
          <w:i w:val="0"/>
          <w:iCs w:val="0"/>
          <w:caps w:val="0"/>
          <w:color w:val="191919"/>
          <w:spacing w:val="0"/>
          <w:sz w:val="32"/>
          <w:szCs w:val="32"/>
          <w:bdr w:val="none" w:color="auto" w:sz="0" w:space="0"/>
          <w:shd w:val="clear" w:fill="FFFFFF"/>
        </w:rPr>
        <w:t>一、认真落实主体责任</w:t>
      </w:r>
      <w:r>
        <w:rPr>
          <w:rStyle w:val="5"/>
          <w:rFonts w:hint="eastAsia" w:ascii="仿宋_GB2312" w:hAnsi="仿宋_GB2312" w:eastAsia="仿宋_GB2312" w:cs="仿宋_GB2312"/>
          <w:b/>
          <w:bCs/>
          <w:i w:val="0"/>
          <w:iCs w:val="0"/>
          <w:caps w:val="0"/>
          <w:color w:val="191919"/>
          <w:spacing w:val="0"/>
          <w:sz w:val="32"/>
          <w:szCs w:val="32"/>
          <w:bdr w:val="none" w:color="auto" w:sz="0" w:space="0"/>
          <w:shd w:val="clear" w:fill="FFFFFF"/>
        </w:rPr>
        <w:br w:type="textWrapping"/>
      </w:r>
      <w:r>
        <w:rPr>
          <w:rStyle w:val="5"/>
          <w:rFonts w:hint="eastAsia" w:ascii="仿宋_GB2312" w:hAnsi="仿宋_GB2312" w:eastAsia="仿宋_GB2312" w:cs="仿宋_GB2312"/>
          <w:b/>
          <w:bCs/>
          <w:i w:val="0"/>
          <w:iCs w:val="0"/>
          <w:caps w:val="0"/>
          <w:color w:val="191919"/>
          <w:spacing w:val="0"/>
          <w:sz w:val="32"/>
          <w:szCs w:val="32"/>
          <w:bdr w:val="none" w:color="auto" w:sz="0" w:space="0"/>
          <w:shd w:val="clear" w:fill="FFFFFF"/>
          <w:lang w:val="en-US" w:eastAsia="zh-CN"/>
        </w:rPr>
        <w:t xml:space="preserve">    </w:t>
      </w:r>
      <w:r>
        <w:rPr>
          <w:rFonts w:hint="eastAsia" w:ascii="仿宋_GB2312" w:hAnsi="仿宋_GB2312" w:eastAsia="仿宋_GB2312" w:cs="仿宋_GB2312"/>
          <w:i w:val="0"/>
          <w:iCs w:val="0"/>
          <w:caps w:val="0"/>
          <w:color w:val="191919"/>
          <w:spacing w:val="0"/>
          <w:sz w:val="32"/>
          <w:szCs w:val="32"/>
          <w:bdr w:val="none" w:color="auto" w:sz="0" w:space="0"/>
          <w:shd w:val="clear" w:fill="FFFFFF"/>
        </w:rPr>
        <w:t>各地金融监管部门要切实承担起商业保理企业名单制管理的主体责任，把好审查关，防止非正常经营类、违法违规经营类企业“带病”纳入监管名单。请各地金融监管部门收集、汇总辖区内拟纳入监管名单商业保理企业基本信息（详见附件1），督促纳入监管名单企业填报合规经营承诺函（详见附件2），于今年9月25日、12月25日前，分两批次向我局报送拟纳入名单制管理的商业保理企业名单及其有关材料。</w:t>
      </w:r>
      <w:r>
        <w:rPr>
          <w:rFonts w:hint="eastAsia" w:ascii="仿宋_GB2312" w:hAnsi="仿宋_GB2312" w:eastAsia="仿宋_GB2312" w:cs="仿宋_GB2312"/>
          <w:i w:val="0"/>
          <w:iCs w:val="0"/>
          <w:caps w:val="0"/>
          <w:color w:val="191919"/>
          <w:spacing w:val="0"/>
          <w:sz w:val="32"/>
          <w:szCs w:val="32"/>
          <w:bdr w:val="none" w:color="auto" w:sz="0" w:space="0"/>
          <w:shd w:val="clear" w:fill="FFFFFF"/>
        </w:rPr>
        <w:br w:type="textWrapping"/>
      </w:r>
      <w:r>
        <w:rPr>
          <w:rStyle w:val="5"/>
          <w:rFonts w:hint="eastAsia" w:ascii="仿宋_GB2312" w:hAnsi="仿宋_GB2312" w:eastAsia="仿宋_GB2312" w:cs="仿宋_GB2312"/>
          <w:b/>
          <w:bCs/>
          <w:i w:val="0"/>
          <w:iCs w:val="0"/>
          <w:caps w:val="0"/>
          <w:color w:val="191919"/>
          <w:spacing w:val="0"/>
          <w:sz w:val="32"/>
          <w:szCs w:val="32"/>
          <w:bdr w:val="none" w:color="auto" w:sz="0" w:space="0"/>
          <w:shd w:val="clear" w:fill="FFFFFF"/>
        </w:rPr>
        <w:t>二、稳妥推进名单筛选</w:t>
      </w:r>
      <w:r>
        <w:rPr>
          <w:rStyle w:val="5"/>
          <w:rFonts w:hint="eastAsia" w:ascii="仿宋_GB2312" w:hAnsi="仿宋_GB2312" w:eastAsia="仿宋_GB2312" w:cs="仿宋_GB2312"/>
          <w:b/>
          <w:bCs/>
          <w:i w:val="0"/>
          <w:iCs w:val="0"/>
          <w:caps w:val="0"/>
          <w:color w:val="191919"/>
          <w:spacing w:val="0"/>
          <w:sz w:val="32"/>
          <w:szCs w:val="32"/>
          <w:bdr w:val="none" w:color="auto" w:sz="0" w:space="0"/>
          <w:shd w:val="clear" w:fill="FFFFFF"/>
        </w:rPr>
        <w:br w:type="textWrapping"/>
      </w:r>
      <w:r>
        <w:rPr>
          <w:rStyle w:val="5"/>
          <w:rFonts w:hint="eastAsia" w:ascii="仿宋_GB2312" w:hAnsi="仿宋_GB2312" w:eastAsia="仿宋_GB2312" w:cs="仿宋_GB2312"/>
          <w:b/>
          <w:bCs/>
          <w:i w:val="0"/>
          <w:iCs w:val="0"/>
          <w:caps w:val="0"/>
          <w:color w:val="191919"/>
          <w:spacing w:val="0"/>
          <w:sz w:val="32"/>
          <w:szCs w:val="32"/>
          <w:bdr w:val="none" w:color="auto" w:sz="0" w:space="0"/>
          <w:shd w:val="clear" w:fill="FFFFFF"/>
          <w:lang w:val="en-US" w:eastAsia="zh-CN"/>
        </w:rPr>
        <w:t xml:space="preserve">    </w:t>
      </w:r>
      <w:r>
        <w:rPr>
          <w:rFonts w:hint="eastAsia" w:ascii="仿宋_GB2312" w:hAnsi="仿宋_GB2312" w:eastAsia="仿宋_GB2312" w:cs="仿宋_GB2312"/>
          <w:i w:val="0"/>
          <w:iCs w:val="0"/>
          <w:caps w:val="0"/>
          <w:color w:val="191919"/>
          <w:spacing w:val="0"/>
          <w:sz w:val="32"/>
          <w:szCs w:val="32"/>
          <w:bdr w:val="none" w:color="auto" w:sz="0" w:space="0"/>
          <w:shd w:val="clear" w:fill="FFFFFF"/>
        </w:rPr>
        <w:t>各地金融监管部门要充分采取信息交叉比对、现场和非现场检查、约谈、引入第三方参与核查等方式，了解、掌握辖区内商业保理企业风险底数，优先将股东背景、资金实力、业务经验、合规经营、经营业绩等方面表现突出的企业，初步筛选为拟纳入监管名单企业，切实发挥好对行业的示范引领作用。</w:t>
      </w:r>
      <w:r>
        <w:rPr>
          <w:rFonts w:hint="eastAsia" w:ascii="仿宋_GB2312" w:hAnsi="仿宋_GB2312" w:eastAsia="仿宋_GB2312" w:cs="仿宋_GB2312"/>
          <w:i w:val="0"/>
          <w:iCs w:val="0"/>
          <w:caps w:val="0"/>
          <w:color w:val="191919"/>
          <w:spacing w:val="0"/>
          <w:sz w:val="32"/>
          <w:szCs w:val="32"/>
          <w:bdr w:val="none" w:color="auto" w:sz="0" w:space="0"/>
          <w:shd w:val="clear" w:fill="FFFFFF"/>
        </w:rPr>
        <w:br w:type="textWrapping"/>
      </w:r>
      <w:r>
        <w:rPr>
          <w:rFonts w:hint="eastAsia" w:ascii="仿宋_GB2312" w:hAnsi="仿宋_GB2312" w:eastAsia="仿宋_GB2312" w:cs="仿宋_GB2312"/>
          <w:i w:val="0"/>
          <w:iCs w:val="0"/>
          <w:caps w:val="0"/>
          <w:color w:val="191919"/>
          <w:spacing w:val="0"/>
          <w:sz w:val="32"/>
          <w:szCs w:val="32"/>
          <w:bdr w:val="none" w:color="auto" w:sz="0" w:space="0"/>
          <w:shd w:val="clear" w:fill="FFFFFF"/>
        </w:rPr>
        <w:t>对拟纳入名单制管理的商业保理企业，应满足以下条件：</w:t>
      </w:r>
      <w:r>
        <w:rPr>
          <w:rFonts w:hint="eastAsia" w:ascii="仿宋_GB2312" w:hAnsi="仿宋_GB2312" w:eastAsia="仿宋_GB2312" w:cs="仿宋_GB2312"/>
          <w:i w:val="0"/>
          <w:iCs w:val="0"/>
          <w:caps w:val="0"/>
          <w:color w:val="191919"/>
          <w:spacing w:val="0"/>
          <w:sz w:val="32"/>
          <w:szCs w:val="32"/>
          <w:bdr w:val="none" w:color="auto" w:sz="0" w:space="0"/>
          <w:shd w:val="clear" w:fill="FFFFFF"/>
        </w:rPr>
        <w:br w:type="textWrapping"/>
      </w:r>
      <w:r>
        <w:rPr>
          <w:rFonts w:hint="eastAsia" w:ascii="仿宋_GB2312" w:hAnsi="仿宋_GB2312" w:eastAsia="仿宋_GB2312" w:cs="仿宋_GB2312"/>
          <w:i w:val="0"/>
          <w:iCs w:val="0"/>
          <w:caps w:val="0"/>
          <w:color w:val="191919"/>
          <w:spacing w:val="0"/>
          <w:sz w:val="32"/>
          <w:szCs w:val="32"/>
          <w:bdr w:val="none" w:color="auto" w:sz="0" w:space="0"/>
          <w:shd w:val="clear" w:fill="FFFFFF"/>
        </w:rPr>
        <w:t>1.商业保理公司名称及经营范围中应当标明“商业保理”字样；</w:t>
      </w:r>
      <w:r>
        <w:rPr>
          <w:rFonts w:hint="eastAsia" w:ascii="仿宋_GB2312" w:hAnsi="仿宋_GB2312" w:eastAsia="仿宋_GB2312" w:cs="仿宋_GB2312"/>
          <w:i w:val="0"/>
          <w:iCs w:val="0"/>
          <w:caps w:val="0"/>
          <w:color w:val="191919"/>
          <w:spacing w:val="0"/>
          <w:sz w:val="32"/>
          <w:szCs w:val="32"/>
          <w:bdr w:val="none" w:color="auto" w:sz="0" w:space="0"/>
          <w:shd w:val="clear" w:fill="FFFFFF"/>
        </w:rPr>
        <w:br w:type="textWrapping"/>
      </w:r>
      <w:r>
        <w:rPr>
          <w:rFonts w:hint="eastAsia" w:ascii="仿宋_GB2312" w:hAnsi="仿宋_GB2312" w:eastAsia="仿宋_GB2312" w:cs="仿宋_GB2312"/>
          <w:i w:val="0"/>
          <w:iCs w:val="0"/>
          <w:caps w:val="0"/>
          <w:color w:val="191919"/>
          <w:spacing w:val="0"/>
          <w:sz w:val="32"/>
          <w:szCs w:val="32"/>
          <w:bdr w:val="none" w:color="auto" w:sz="0" w:space="0"/>
          <w:shd w:val="clear" w:fill="FFFFFF"/>
        </w:rPr>
        <w:t>2. 注册地在本省，依法成立且存续期满三年，有健全的内部控制制度和风险管理体系，有与业务经营相适应的营业场所；</w:t>
      </w:r>
      <w:r>
        <w:rPr>
          <w:rFonts w:hint="eastAsia" w:ascii="仿宋_GB2312" w:hAnsi="仿宋_GB2312" w:eastAsia="仿宋_GB2312" w:cs="仿宋_GB2312"/>
          <w:i w:val="0"/>
          <w:iCs w:val="0"/>
          <w:caps w:val="0"/>
          <w:color w:val="191919"/>
          <w:spacing w:val="0"/>
          <w:sz w:val="32"/>
          <w:szCs w:val="32"/>
          <w:bdr w:val="none" w:color="auto" w:sz="0" w:space="0"/>
          <w:shd w:val="clear" w:fill="FFFFFF"/>
        </w:rPr>
        <w:br w:type="textWrapping"/>
      </w:r>
      <w:r>
        <w:rPr>
          <w:rFonts w:hint="eastAsia" w:ascii="仿宋_GB2312" w:hAnsi="仿宋_GB2312" w:eastAsia="仿宋_GB2312" w:cs="仿宋_GB2312"/>
          <w:i w:val="0"/>
          <w:iCs w:val="0"/>
          <w:caps w:val="0"/>
          <w:color w:val="191919"/>
          <w:spacing w:val="0"/>
          <w:sz w:val="32"/>
          <w:szCs w:val="32"/>
          <w:bdr w:val="none" w:color="auto" w:sz="0" w:space="0"/>
          <w:shd w:val="clear" w:fill="FFFFFF"/>
        </w:rPr>
        <w:t>3.主发起人为企业法人或其他社会经济组织、有健全的的公司治理结构、完善的风险管理及内控制度，无不良信用记录及重大违法违规记录；</w:t>
      </w:r>
      <w:r>
        <w:rPr>
          <w:rFonts w:hint="eastAsia" w:ascii="仿宋_GB2312" w:hAnsi="仿宋_GB2312" w:eastAsia="仿宋_GB2312" w:cs="仿宋_GB2312"/>
          <w:i w:val="0"/>
          <w:iCs w:val="0"/>
          <w:caps w:val="0"/>
          <w:color w:val="191919"/>
          <w:spacing w:val="0"/>
          <w:sz w:val="32"/>
          <w:szCs w:val="32"/>
          <w:bdr w:val="none" w:color="auto" w:sz="0" w:space="0"/>
          <w:shd w:val="clear" w:fill="FFFFFF"/>
        </w:rPr>
        <w:br w:type="textWrapping"/>
      </w:r>
      <w:r>
        <w:rPr>
          <w:rFonts w:hint="eastAsia" w:ascii="仿宋_GB2312" w:hAnsi="仿宋_GB2312" w:eastAsia="仿宋_GB2312" w:cs="仿宋_GB2312"/>
          <w:i w:val="0"/>
          <w:iCs w:val="0"/>
          <w:caps w:val="0"/>
          <w:color w:val="191919"/>
          <w:spacing w:val="0"/>
          <w:sz w:val="32"/>
          <w:szCs w:val="32"/>
          <w:bdr w:val="none" w:color="auto" w:sz="0" w:space="0"/>
          <w:shd w:val="clear" w:fill="FFFFFF"/>
        </w:rPr>
        <w:t>4.合并、注册资本金增减、注册地、股权、法定代表人、董事、监事、高级管理人员变更等审批事项程序依法合规；</w:t>
      </w:r>
      <w:r>
        <w:rPr>
          <w:rFonts w:hint="eastAsia" w:ascii="仿宋_GB2312" w:hAnsi="仿宋_GB2312" w:eastAsia="仿宋_GB2312" w:cs="仿宋_GB2312"/>
          <w:i w:val="0"/>
          <w:iCs w:val="0"/>
          <w:caps w:val="0"/>
          <w:color w:val="191919"/>
          <w:spacing w:val="0"/>
          <w:sz w:val="32"/>
          <w:szCs w:val="32"/>
          <w:bdr w:val="none" w:color="auto" w:sz="0" w:space="0"/>
          <w:shd w:val="clear" w:fill="FFFFFF"/>
        </w:rPr>
        <w:br w:type="textWrapping"/>
      </w:r>
      <w:r>
        <w:rPr>
          <w:rFonts w:hint="eastAsia" w:ascii="仿宋_GB2312" w:hAnsi="仿宋_GB2312" w:eastAsia="仿宋_GB2312" w:cs="仿宋_GB2312"/>
          <w:i w:val="0"/>
          <w:iCs w:val="0"/>
          <w:caps w:val="0"/>
          <w:color w:val="191919"/>
          <w:spacing w:val="0"/>
          <w:sz w:val="32"/>
          <w:szCs w:val="32"/>
          <w:bdr w:val="none" w:color="auto" w:sz="0" w:space="0"/>
          <w:shd w:val="clear" w:fill="FFFFFF"/>
        </w:rPr>
        <w:t>5.注册资本金不低于人民币5000万元，且为实缴货币出资，首次出资额不低于注册资本金的50%；</w:t>
      </w:r>
      <w:r>
        <w:rPr>
          <w:rFonts w:hint="eastAsia" w:ascii="仿宋_GB2312" w:hAnsi="仿宋_GB2312" w:eastAsia="仿宋_GB2312" w:cs="仿宋_GB2312"/>
          <w:i w:val="0"/>
          <w:iCs w:val="0"/>
          <w:caps w:val="0"/>
          <w:color w:val="191919"/>
          <w:spacing w:val="0"/>
          <w:sz w:val="32"/>
          <w:szCs w:val="32"/>
          <w:bdr w:val="none" w:color="auto" w:sz="0" w:space="0"/>
          <w:shd w:val="clear" w:fill="FFFFFF"/>
        </w:rPr>
        <w:br w:type="textWrapping"/>
      </w:r>
      <w:r>
        <w:rPr>
          <w:rFonts w:hint="eastAsia" w:ascii="仿宋_GB2312" w:hAnsi="仿宋_GB2312" w:eastAsia="仿宋_GB2312" w:cs="仿宋_GB2312"/>
          <w:i w:val="0"/>
          <w:iCs w:val="0"/>
          <w:caps w:val="0"/>
          <w:color w:val="191919"/>
          <w:spacing w:val="0"/>
          <w:sz w:val="32"/>
          <w:szCs w:val="32"/>
          <w:bdr w:val="none" w:color="auto" w:sz="0" w:space="0"/>
          <w:shd w:val="clear" w:fill="FFFFFF"/>
        </w:rPr>
        <w:t>6.受让同一债务人的应收账款，不得超过风险资产总额的50%；</w:t>
      </w:r>
      <w:r>
        <w:rPr>
          <w:rFonts w:hint="eastAsia" w:ascii="仿宋_GB2312" w:hAnsi="仿宋_GB2312" w:eastAsia="仿宋_GB2312" w:cs="仿宋_GB2312"/>
          <w:i w:val="0"/>
          <w:iCs w:val="0"/>
          <w:caps w:val="0"/>
          <w:color w:val="191919"/>
          <w:spacing w:val="0"/>
          <w:sz w:val="32"/>
          <w:szCs w:val="32"/>
          <w:bdr w:val="none" w:color="auto" w:sz="0" w:space="0"/>
          <w:shd w:val="clear" w:fill="FFFFFF"/>
        </w:rPr>
        <w:br w:type="textWrapping"/>
      </w:r>
      <w:r>
        <w:rPr>
          <w:rFonts w:hint="eastAsia" w:ascii="仿宋_GB2312" w:hAnsi="仿宋_GB2312" w:eastAsia="仿宋_GB2312" w:cs="仿宋_GB2312"/>
          <w:i w:val="0"/>
          <w:iCs w:val="0"/>
          <w:caps w:val="0"/>
          <w:color w:val="191919"/>
          <w:spacing w:val="0"/>
          <w:sz w:val="32"/>
          <w:szCs w:val="32"/>
          <w:bdr w:val="none" w:color="auto" w:sz="0" w:space="0"/>
          <w:shd w:val="clear" w:fill="FFFFFF"/>
        </w:rPr>
        <w:t>7.受让以其关联企业为债务人的应收账款，不得超过风险资产总额的40%；</w:t>
      </w:r>
      <w:r>
        <w:rPr>
          <w:rFonts w:hint="eastAsia" w:ascii="仿宋_GB2312" w:hAnsi="仿宋_GB2312" w:eastAsia="仿宋_GB2312" w:cs="仿宋_GB2312"/>
          <w:i w:val="0"/>
          <w:iCs w:val="0"/>
          <w:caps w:val="0"/>
          <w:color w:val="191919"/>
          <w:spacing w:val="0"/>
          <w:sz w:val="32"/>
          <w:szCs w:val="32"/>
          <w:bdr w:val="none" w:color="auto" w:sz="0" w:space="0"/>
          <w:shd w:val="clear" w:fill="FFFFFF"/>
        </w:rPr>
        <w:br w:type="textWrapping"/>
      </w:r>
      <w:r>
        <w:rPr>
          <w:rFonts w:hint="eastAsia" w:ascii="仿宋_GB2312" w:hAnsi="仿宋_GB2312" w:eastAsia="仿宋_GB2312" w:cs="仿宋_GB2312"/>
          <w:i w:val="0"/>
          <w:iCs w:val="0"/>
          <w:caps w:val="0"/>
          <w:color w:val="191919"/>
          <w:spacing w:val="0"/>
          <w:sz w:val="32"/>
          <w:szCs w:val="32"/>
          <w:bdr w:val="none" w:color="auto" w:sz="0" w:space="0"/>
          <w:shd w:val="clear" w:fill="FFFFFF"/>
        </w:rPr>
        <w:t>8.已将逾期90天未收回或未实现的保理融资款纳入不良资产管理；</w:t>
      </w:r>
      <w:r>
        <w:rPr>
          <w:rFonts w:hint="eastAsia" w:ascii="仿宋_GB2312" w:hAnsi="仿宋_GB2312" w:eastAsia="仿宋_GB2312" w:cs="仿宋_GB2312"/>
          <w:i w:val="0"/>
          <w:iCs w:val="0"/>
          <w:caps w:val="0"/>
          <w:color w:val="191919"/>
          <w:spacing w:val="0"/>
          <w:sz w:val="32"/>
          <w:szCs w:val="32"/>
          <w:bdr w:val="none" w:color="auto" w:sz="0" w:space="0"/>
          <w:shd w:val="clear" w:fill="FFFFFF"/>
        </w:rPr>
        <w:br w:type="textWrapping"/>
      </w:r>
      <w:r>
        <w:rPr>
          <w:rFonts w:hint="eastAsia" w:ascii="仿宋_GB2312" w:hAnsi="仿宋_GB2312" w:eastAsia="仿宋_GB2312" w:cs="仿宋_GB2312"/>
          <w:i w:val="0"/>
          <w:iCs w:val="0"/>
          <w:caps w:val="0"/>
          <w:color w:val="191919"/>
          <w:spacing w:val="0"/>
          <w:sz w:val="32"/>
          <w:szCs w:val="32"/>
          <w:bdr w:val="none" w:color="auto" w:sz="0" w:space="0"/>
          <w:shd w:val="clear" w:fill="FFFFFF"/>
        </w:rPr>
        <w:t>9.计提的风险准备金，不得低于融资保理业务期末余额的1%；</w:t>
      </w:r>
      <w:r>
        <w:rPr>
          <w:rFonts w:hint="eastAsia" w:ascii="仿宋_GB2312" w:hAnsi="仿宋_GB2312" w:eastAsia="仿宋_GB2312" w:cs="仿宋_GB2312"/>
          <w:i w:val="0"/>
          <w:iCs w:val="0"/>
          <w:caps w:val="0"/>
          <w:color w:val="191919"/>
          <w:spacing w:val="0"/>
          <w:sz w:val="32"/>
          <w:szCs w:val="32"/>
          <w:bdr w:val="none" w:color="auto" w:sz="0" w:space="0"/>
          <w:shd w:val="clear" w:fill="FFFFFF"/>
        </w:rPr>
        <w:br w:type="textWrapping"/>
      </w:r>
      <w:r>
        <w:rPr>
          <w:rFonts w:hint="eastAsia" w:ascii="仿宋_GB2312" w:hAnsi="仿宋_GB2312" w:eastAsia="仿宋_GB2312" w:cs="仿宋_GB2312"/>
          <w:i w:val="0"/>
          <w:iCs w:val="0"/>
          <w:caps w:val="0"/>
          <w:color w:val="191919"/>
          <w:spacing w:val="0"/>
          <w:sz w:val="32"/>
          <w:szCs w:val="32"/>
          <w:bdr w:val="none" w:color="auto" w:sz="0" w:space="0"/>
          <w:shd w:val="clear" w:fill="FFFFFF"/>
        </w:rPr>
        <w:t>10.风险资产不得超过净资产的10倍；</w:t>
      </w:r>
      <w:r>
        <w:rPr>
          <w:rFonts w:hint="eastAsia" w:ascii="仿宋_GB2312" w:hAnsi="仿宋_GB2312" w:eastAsia="仿宋_GB2312" w:cs="仿宋_GB2312"/>
          <w:i w:val="0"/>
          <w:iCs w:val="0"/>
          <w:caps w:val="0"/>
          <w:color w:val="191919"/>
          <w:spacing w:val="0"/>
          <w:sz w:val="32"/>
          <w:szCs w:val="32"/>
          <w:bdr w:val="none" w:color="auto" w:sz="0" w:space="0"/>
          <w:shd w:val="clear" w:fill="FFFFFF"/>
        </w:rPr>
        <w:br w:type="textWrapping"/>
      </w:r>
      <w:r>
        <w:rPr>
          <w:rFonts w:hint="eastAsia" w:ascii="仿宋_GB2312" w:hAnsi="仿宋_GB2312" w:eastAsia="仿宋_GB2312" w:cs="仿宋_GB2312"/>
          <w:i w:val="0"/>
          <w:iCs w:val="0"/>
          <w:caps w:val="0"/>
          <w:color w:val="191919"/>
          <w:spacing w:val="0"/>
          <w:sz w:val="32"/>
          <w:szCs w:val="32"/>
          <w:bdr w:val="none" w:color="auto" w:sz="0" w:space="0"/>
          <w:shd w:val="clear" w:fill="FFFFFF"/>
        </w:rPr>
        <w:t>11.接受并配合监管，按照规定及时、准确、完整的在全国商业保理信息管理系统上填报相关数据信息。</w:t>
      </w:r>
      <w:r>
        <w:rPr>
          <w:rFonts w:hint="eastAsia" w:ascii="仿宋_GB2312" w:hAnsi="仿宋_GB2312" w:eastAsia="仿宋_GB2312" w:cs="仿宋_GB2312"/>
          <w:i w:val="0"/>
          <w:iCs w:val="0"/>
          <w:caps w:val="0"/>
          <w:color w:val="191919"/>
          <w:spacing w:val="0"/>
          <w:sz w:val="32"/>
          <w:szCs w:val="32"/>
          <w:bdr w:val="none" w:color="auto" w:sz="0" w:space="0"/>
          <w:shd w:val="clear" w:fill="FFFFFF"/>
        </w:rPr>
        <w:br w:type="textWrapping"/>
      </w:r>
      <w:r>
        <w:rPr>
          <w:rStyle w:val="5"/>
          <w:rFonts w:hint="eastAsia" w:ascii="仿宋_GB2312" w:hAnsi="仿宋_GB2312" w:eastAsia="仿宋_GB2312" w:cs="仿宋_GB2312"/>
          <w:b/>
          <w:bCs/>
          <w:i w:val="0"/>
          <w:iCs w:val="0"/>
          <w:caps w:val="0"/>
          <w:color w:val="191919"/>
          <w:spacing w:val="0"/>
          <w:sz w:val="32"/>
          <w:szCs w:val="32"/>
          <w:bdr w:val="none" w:color="auto" w:sz="0" w:space="0"/>
          <w:shd w:val="clear" w:fill="FFFFFF"/>
        </w:rPr>
        <w:t>三、持续完善监管工作</w:t>
      </w:r>
      <w:r>
        <w:rPr>
          <w:rStyle w:val="5"/>
          <w:rFonts w:hint="eastAsia" w:ascii="仿宋_GB2312" w:hAnsi="仿宋_GB2312" w:eastAsia="仿宋_GB2312" w:cs="仿宋_GB2312"/>
          <w:b/>
          <w:bCs/>
          <w:i w:val="0"/>
          <w:iCs w:val="0"/>
          <w:caps w:val="0"/>
          <w:color w:val="191919"/>
          <w:spacing w:val="0"/>
          <w:sz w:val="32"/>
          <w:szCs w:val="32"/>
          <w:bdr w:val="none" w:color="auto" w:sz="0" w:space="0"/>
          <w:shd w:val="clear" w:fill="FFFFFF"/>
        </w:rPr>
        <w:br w:type="textWrapping"/>
      </w:r>
      <w:r>
        <w:rPr>
          <w:rStyle w:val="5"/>
          <w:rFonts w:hint="eastAsia" w:ascii="仿宋_GB2312" w:hAnsi="仿宋_GB2312" w:eastAsia="仿宋_GB2312" w:cs="仿宋_GB2312"/>
          <w:b/>
          <w:bCs/>
          <w:i w:val="0"/>
          <w:iCs w:val="0"/>
          <w:caps w:val="0"/>
          <w:color w:val="191919"/>
          <w:spacing w:val="0"/>
          <w:sz w:val="32"/>
          <w:szCs w:val="32"/>
          <w:bdr w:val="none" w:color="auto" w:sz="0" w:space="0"/>
          <w:shd w:val="clear" w:fill="FFFFFF"/>
          <w:lang w:val="en-US" w:eastAsia="zh-CN"/>
        </w:rPr>
        <w:t xml:space="preserve">    </w:t>
      </w:r>
      <w:r>
        <w:rPr>
          <w:rFonts w:hint="eastAsia" w:ascii="仿宋_GB2312" w:hAnsi="仿宋_GB2312" w:eastAsia="仿宋_GB2312" w:cs="仿宋_GB2312"/>
          <w:i w:val="0"/>
          <w:iCs w:val="0"/>
          <w:caps w:val="0"/>
          <w:color w:val="191919"/>
          <w:spacing w:val="0"/>
          <w:sz w:val="32"/>
          <w:szCs w:val="32"/>
          <w:bdr w:val="none" w:color="auto" w:sz="0" w:space="0"/>
          <w:shd w:val="clear" w:fill="FFFFFF"/>
        </w:rPr>
        <w:t>各地金融监管部门要督促“失联”“空壳”等非正常经营类企业和违法违规经营类企业在合理期限内整改，非正常经营类企业整改验收合格的，可纳入监管名单；违法违规情节较轻且整改验收合格的，可纳入监管名单。要坚持“动态管理、有进有出”原则，加强对监管名单内商业保理企业的跟踪监测，对发现已列入监管名单的企业存在违法违规经营行为的，应及时向我局报告。我局将按照有关程序上报银保监会，将企业移出监管名单。</w:t>
      </w:r>
      <w:r>
        <w:rPr>
          <w:rFonts w:hint="eastAsia" w:ascii="仿宋_GB2312" w:hAnsi="仿宋_GB2312" w:eastAsia="仿宋_GB2312" w:cs="仿宋_GB2312"/>
          <w:i w:val="0"/>
          <w:iCs w:val="0"/>
          <w:caps w:val="0"/>
          <w:color w:val="191919"/>
          <w:spacing w:val="0"/>
          <w:sz w:val="32"/>
          <w:szCs w:val="32"/>
          <w:bdr w:val="none" w:color="auto" w:sz="0" w:space="0"/>
          <w:shd w:val="clear" w:fill="FFFFFF"/>
        </w:rPr>
        <w:br w:type="textWrapping"/>
      </w:r>
      <w:r>
        <w:rPr>
          <w:rFonts w:hint="eastAsia" w:ascii="仿宋_GB2312" w:hAnsi="仿宋_GB2312" w:eastAsia="仿宋_GB2312" w:cs="仿宋_GB2312"/>
          <w:i w:val="0"/>
          <w:iCs w:val="0"/>
          <w:caps w:val="0"/>
          <w:color w:val="191919"/>
          <w:spacing w:val="0"/>
          <w:sz w:val="32"/>
          <w:szCs w:val="32"/>
          <w:bdr w:val="none" w:color="auto" w:sz="0" w:space="0"/>
          <w:shd w:val="clear" w:fill="FFFFFF"/>
        </w:rPr>
        <w:t>附件：</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line="240" w:lineRule="auto"/>
        <w:ind w:right="0"/>
        <w:jc w:val="left"/>
        <w:rPr>
          <w:rFonts w:hint="eastAsia" w:ascii="仿宋_GB2312" w:hAnsi="仿宋_GB2312" w:eastAsia="仿宋_GB2312" w:cs="仿宋_GB2312"/>
          <w:i w:val="0"/>
          <w:iCs w:val="0"/>
          <w:caps w:val="0"/>
          <w:color w:val="191919"/>
          <w:spacing w:val="0"/>
          <w:sz w:val="32"/>
          <w:szCs w:val="32"/>
        </w:rPr>
      </w:pPr>
      <w:r>
        <w:rPr>
          <w:rFonts w:hint="eastAsia" w:ascii="仿宋_GB2312" w:hAnsi="仿宋_GB2312" w:eastAsia="仿宋_GB2312" w:cs="仿宋_GB2312"/>
          <w:i w:val="0"/>
          <w:iCs w:val="0"/>
          <w:caps w:val="0"/>
          <w:color w:val="191919"/>
          <w:spacing w:val="0"/>
          <w:sz w:val="32"/>
          <w:szCs w:val="32"/>
          <w:bdr w:val="none" w:color="auto" w:sz="0" w:space="0"/>
          <w:shd w:val="clear" w:fill="FFFFFF"/>
        </w:rPr>
        <w:t>中国银保监会普惠金融部关于印发商业保理企业名单制管理工作方案的函（银保监普惠金融函〔2020〕273号）</w:t>
      </w:r>
      <w:r>
        <w:rPr>
          <w:rFonts w:hint="eastAsia" w:ascii="仿宋_GB2312" w:hAnsi="仿宋_GB2312" w:eastAsia="仿宋_GB2312" w:cs="仿宋_GB2312"/>
          <w:i w:val="0"/>
          <w:iCs w:val="0"/>
          <w:caps w:val="0"/>
          <w:color w:val="191919"/>
          <w:spacing w:val="0"/>
          <w:sz w:val="32"/>
          <w:szCs w:val="32"/>
          <w:bdr w:val="none" w:color="auto" w:sz="0" w:space="0"/>
          <w:shd w:val="clear" w:fill="FFFFFF"/>
        </w:rPr>
        <w:br w:type="textWrapping"/>
      </w:r>
      <w:r>
        <w:rPr>
          <w:rFonts w:hint="eastAsia" w:ascii="仿宋_GB2312" w:hAnsi="仿宋_GB2312" w:eastAsia="仿宋_GB2312" w:cs="仿宋_GB2312"/>
          <w:i w:val="0"/>
          <w:iCs w:val="0"/>
          <w:caps w:val="0"/>
          <w:color w:val="191919"/>
          <w:spacing w:val="0"/>
          <w:sz w:val="32"/>
          <w:szCs w:val="32"/>
          <w:bdr w:val="none" w:color="auto" w:sz="0" w:space="0"/>
          <w:shd w:val="clear" w:fill="FFFFFF"/>
        </w:rPr>
        <w:t>2.拟纳入监管名单商业保理企业及基本信息表</w:t>
      </w:r>
      <w:r>
        <w:rPr>
          <w:rFonts w:hint="eastAsia" w:ascii="仿宋_GB2312" w:hAnsi="仿宋_GB2312" w:eastAsia="仿宋_GB2312" w:cs="仿宋_GB2312"/>
          <w:i w:val="0"/>
          <w:iCs w:val="0"/>
          <w:caps w:val="0"/>
          <w:color w:val="191919"/>
          <w:spacing w:val="0"/>
          <w:sz w:val="32"/>
          <w:szCs w:val="32"/>
          <w:bdr w:val="none" w:color="auto" w:sz="0" w:space="0"/>
          <w:shd w:val="clear" w:fill="FFFFFF"/>
        </w:rPr>
        <w:br w:type="textWrapping"/>
      </w:r>
      <w:r>
        <w:rPr>
          <w:rFonts w:hint="eastAsia" w:ascii="仿宋_GB2312" w:hAnsi="仿宋_GB2312" w:eastAsia="仿宋_GB2312" w:cs="仿宋_GB2312"/>
          <w:i w:val="0"/>
          <w:iCs w:val="0"/>
          <w:caps w:val="0"/>
          <w:color w:val="191919"/>
          <w:spacing w:val="0"/>
          <w:sz w:val="32"/>
          <w:szCs w:val="32"/>
          <w:bdr w:val="none" w:color="auto" w:sz="0" w:space="0"/>
          <w:shd w:val="clear" w:fill="FFFFFF"/>
        </w:rPr>
        <w:t>3.合规经营承诺书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line="240" w:lineRule="auto"/>
        <w:ind w:left="0" w:right="0" w:firstLine="0"/>
        <w:jc w:val="right"/>
        <w:rPr>
          <w:rFonts w:hint="eastAsia" w:ascii="仿宋_GB2312" w:hAnsi="仿宋_GB2312" w:eastAsia="仿宋_GB2312" w:cs="仿宋_GB2312"/>
          <w:i w:val="0"/>
          <w:iCs w:val="0"/>
          <w:caps w:val="0"/>
          <w:color w:val="191919"/>
          <w:spacing w:val="0"/>
          <w:sz w:val="32"/>
          <w:szCs w:val="32"/>
        </w:rPr>
      </w:pPr>
      <w:r>
        <w:rPr>
          <w:rFonts w:hint="eastAsia" w:ascii="仿宋_GB2312" w:hAnsi="仿宋_GB2312" w:eastAsia="仿宋_GB2312" w:cs="仿宋_GB2312"/>
          <w:i w:val="0"/>
          <w:iCs w:val="0"/>
          <w:caps w:val="0"/>
          <w:color w:val="191919"/>
          <w:spacing w:val="0"/>
          <w:sz w:val="32"/>
          <w:szCs w:val="32"/>
          <w:bdr w:val="none" w:color="auto" w:sz="0" w:space="0"/>
          <w:shd w:val="clear" w:fill="FFFFFF"/>
        </w:rPr>
        <w:t>福建省地方金融监督管理局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line="240" w:lineRule="auto"/>
        <w:ind w:left="0" w:right="0" w:firstLine="0"/>
        <w:jc w:val="right"/>
        <w:rPr>
          <w:rFonts w:hint="eastAsia" w:ascii="仿宋_GB2312" w:hAnsi="仿宋_GB2312" w:eastAsia="仿宋_GB2312" w:cs="仿宋_GB2312"/>
          <w:i w:val="0"/>
          <w:iCs w:val="0"/>
          <w:caps w:val="0"/>
          <w:color w:val="191919"/>
          <w:spacing w:val="0"/>
          <w:sz w:val="32"/>
          <w:szCs w:val="32"/>
        </w:rPr>
      </w:pPr>
      <w:r>
        <w:rPr>
          <w:rFonts w:hint="eastAsia" w:ascii="仿宋_GB2312" w:hAnsi="仿宋_GB2312" w:eastAsia="仿宋_GB2312" w:cs="仿宋_GB2312"/>
          <w:i w:val="0"/>
          <w:iCs w:val="0"/>
          <w:caps w:val="0"/>
          <w:color w:val="191919"/>
          <w:spacing w:val="0"/>
          <w:sz w:val="32"/>
          <w:szCs w:val="32"/>
          <w:bdr w:val="none" w:color="auto" w:sz="0" w:space="0"/>
          <w:shd w:val="clear" w:fill="FFFFFF"/>
        </w:rPr>
        <w:t>2020年9月4日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19"/>
          <w:szCs w:val="19"/>
        </w:rPr>
      </w:pPr>
      <w:r>
        <w:rPr>
          <w:rFonts w:hint="default" w:ascii="Arial" w:hAnsi="Arial" w:eastAsia="Arial" w:cs="Arial"/>
          <w:i w:val="0"/>
          <w:iCs w:val="0"/>
          <w:caps w:val="0"/>
          <w:color w:val="191919"/>
          <w:spacing w:val="0"/>
          <w:sz w:val="19"/>
          <w:szCs w:val="19"/>
          <w:bdr w:val="none" w:color="auto" w:sz="0" w:space="0"/>
          <w:shd w:val="clear" w:fill="FFFFFF"/>
        </w:rPr>
        <w:t>（此件主动公开）</w:t>
      </w:r>
    </w:p>
    <w:p>
      <w:pPr>
        <w:rPr>
          <w:rFonts w:hint="eastAsia" w:eastAsiaTheme="minorEastAsia"/>
          <w:lang w:eastAsia="zh-CN"/>
        </w:rPr>
      </w:pPr>
      <w:r>
        <w:rPr>
          <w:rFonts w:hint="eastAsia" w:eastAsiaTheme="minorEastAsia"/>
          <w:lang w:eastAsia="zh-CN"/>
        </w:rPr>
        <w:drawing>
          <wp:inline distT="0" distB="0" distL="114300" distR="114300">
            <wp:extent cx="5266690" cy="7471410"/>
            <wp:effectExtent l="0" t="0" r="6350" b="11430"/>
            <wp:docPr id="1" name="图片 1" descr="98fbf62d35444aef92408be2d3c85d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8fbf62d35444aef92408be2d3c85d93"/>
                    <pic:cNvPicPr>
                      <a:picLocks noChangeAspect="1"/>
                    </pic:cNvPicPr>
                  </pic:nvPicPr>
                  <pic:blipFill>
                    <a:blip r:embed="rId4"/>
                    <a:stretch>
                      <a:fillRect/>
                    </a:stretch>
                  </pic:blipFill>
                  <pic:spPr>
                    <a:xfrm>
                      <a:off x="0" y="0"/>
                      <a:ext cx="5266690" cy="7471410"/>
                    </a:xfrm>
                    <a:prstGeom prst="rect">
                      <a:avLst/>
                    </a:prstGeom>
                  </pic:spPr>
                </pic:pic>
              </a:graphicData>
            </a:graphic>
          </wp:inline>
        </w:drawing>
      </w:r>
      <w:r>
        <w:rPr>
          <w:rFonts w:hint="eastAsia" w:eastAsiaTheme="minorEastAsia"/>
          <w:lang w:eastAsia="zh-CN"/>
        </w:rPr>
        <w:drawing>
          <wp:inline distT="0" distB="0" distL="114300" distR="114300">
            <wp:extent cx="5638165" cy="8649970"/>
            <wp:effectExtent l="0" t="0" r="635" b="6350"/>
            <wp:docPr id="3" name="图片 3" descr="7688cd9abbb04026a6e3b537d4e7ea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688cd9abbb04026a6e3b537d4e7ea04"/>
                    <pic:cNvPicPr>
                      <a:picLocks noChangeAspect="1"/>
                    </pic:cNvPicPr>
                  </pic:nvPicPr>
                  <pic:blipFill>
                    <a:blip r:embed="rId5"/>
                    <a:srcRect b="39864"/>
                    <a:stretch>
                      <a:fillRect/>
                    </a:stretch>
                  </pic:blipFill>
                  <pic:spPr>
                    <a:xfrm>
                      <a:off x="0" y="0"/>
                      <a:ext cx="5638165" cy="8649970"/>
                    </a:xfrm>
                    <a:prstGeom prst="rect">
                      <a:avLst/>
                    </a:prstGeom>
                  </pic:spPr>
                </pic:pic>
              </a:graphicData>
            </a:graphic>
          </wp:inline>
        </w:drawing>
      </w:r>
      <w:r>
        <w:rPr>
          <w:rFonts w:hint="eastAsia" w:eastAsiaTheme="minorEastAsia"/>
          <w:lang w:eastAsia="zh-CN"/>
        </w:rPr>
        <w:drawing>
          <wp:inline distT="0" distB="0" distL="114300" distR="114300">
            <wp:extent cx="5638165" cy="5728970"/>
            <wp:effectExtent l="0" t="0" r="635" b="1270"/>
            <wp:docPr id="2" name="图片 2" descr="7688cd9abbb04026a6e3b537d4e7ea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688cd9abbb04026a6e3b537d4e7ea04"/>
                    <pic:cNvPicPr>
                      <a:picLocks noChangeAspect="1"/>
                    </pic:cNvPicPr>
                  </pic:nvPicPr>
                  <pic:blipFill>
                    <a:blip r:embed="rId5"/>
                    <a:srcRect t="60171"/>
                    <a:stretch>
                      <a:fillRect/>
                    </a:stretch>
                  </pic:blipFill>
                  <pic:spPr>
                    <a:xfrm>
                      <a:off x="0" y="0"/>
                      <a:ext cx="5638165" cy="572897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 w:name="方正小标宋简体">
    <w:panose1 w:val="02010601030101010101"/>
    <w:charset w:val="86"/>
    <w:family w:val="auto"/>
    <w:pitch w:val="default"/>
    <w:sig w:usb0="00000001" w:usb1="080E0000" w:usb2="00000000" w:usb3="00000000" w:csb0="00040000" w:csb1="00000000"/>
  </w:font>
  <w:font w:name="新宋体">
    <w:panose1 w:val="02010609030101010101"/>
    <w:charset w:val="86"/>
    <w:family w:val="auto"/>
    <w:pitch w:val="default"/>
    <w:sig w:usb0="00000283" w:usb1="288F0000" w:usb2="00000006" w:usb3="00000000" w:csb0="00040001" w:csb1="00000000"/>
  </w:font>
  <w:font w:name="隶书">
    <w:panose1 w:val="02010509060101010101"/>
    <w:charset w:val="86"/>
    <w:family w:val="auto"/>
    <w:pitch w:val="default"/>
    <w:sig w:usb0="00000001" w:usb1="080E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59AA09"/>
    <w:multiLevelType w:val="singleLevel"/>
    <w:tmpl w:val="C559AA09"/>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1E1722D"/>
    <w:rsid w:val="51E1722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2021-05-06T04:12:00Z</dcterms:created>
  <dc:creator>安梓琪。戰神。</dc:creator>
  <cp:lastModifiedBy>安梓琪。戰神。</cp:lastModifiedBy>
  <dcterms:modified xsi:type="dcterms:W3CDTF">2021-05-06T04:25:33Z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099C8FA4405C44E8B2EE1C5E87086BB0</vt:lpwstr>
  </property>
</Properties>
</file>